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AttachmentTitle"/>
      </w:pPr>
      <w:r>
        <w:rPr>
          <w:b/>
        </w:rPr>
        <w:t>附件 1|7 总览：</w:t>
      </w:r>
    </w:p>
    <w:p>
      <w:pPr>
        <w:pStyle w:val="DocTitle"/>
      </w:pPr>
      <w:r>
        <w:t>具身智能产业生态 · 科委工作切入点探讨</w:t>
      </w:r>
    </w:p>
    <w:p>
      <w:pPr>
        <w:pStyle w:val="Lead"/>
      </w:pPr>
      <w:r>
        <w:t xml:space="preserve">面向北京市科委领导快速阅读，重点把国内外城市案例、北京已有基础、方向建议、工作建议、资源确认问题和政府可用工具放在同一条证据链中，辅助判断哪些战略方向值得提前布局、哪些具体工作具备推进价值、哪些工作与既有基础可能重复、哪些工作取决于资源和权限确认。在题目尚不完全明确时，先形成方向性判断和可讨论方案，再通过决策层反馈逐步建立正确的反馈回路。 </w:t>
      </w:r>
    </w:p>
    <w:p>
      <w:pPr>
        <w:pStyle w:val="Heading1"/>
      </w:pPr>
      <w:r>
        <w:t>研究问题</w:t>
      </w:r>
    </w:p>
    <w:p>
      <w:r>
        <w:t>本报告当前主要围绕以下问题展开：</w:t>
      </w:r>
    </w:p>
    <w:p>
      <w:pPr>
        <w:numPr>
          <w:ilvl w:val="0"/>
          <w:numId w:val="1"/>
        </w:numPr>
      </w:pPr>
      <w:r>
        <w:rPr>
          <w:b/>
        </w:rPr>
        <w:t>外部案例与北京位置：</w:t>
      </w:r>
      <w:r>
        <w:t>哪些城市或地区在具身智能机器人领域形成了较好的产业基础、科研基础或场景基础？这些地区的政府具体通过政策、资金、平台、场景、产业链、生态组织和监管边界做了什么？北京可借鉴的机制和不可复制的条件分别是什么？</w:t>
      </w:r>
    </w:p>
    <w:p>
      <w:pPr>
        <w:numPr>
          <w:ilvl w:val="0"/>
          <w:numId w:val="1"/>
        </w:numPr>
      </w:pPr>
      <w:r>
        <w:rPr>
          <w:b/>
        </w:rPr>
        <w:t>北京基础与可补空间：</w:t>
      </w:r>
      <w:r>
        <w:t>北京已经公开开展了哪些工作，已经形成哪些政策、平台、场景、高校院所、重点实验室和新型研发机构基础？哪些工作与既有基础可能重复，哪些地方仍有必要补齐机制、接口和闭环？</w:t>
      </w:r>
    </w:p>
    <w:p>
      <w:pPr>
        <w:numPr>
          <w:ilvl w:val="0"/>
          <w:numId w:val="1"/>
        </w:numPr>
      </w:pPr>
      <w:r>
        <w:rPr>
          <w:b/>
        </w:rPr>
        <w:t>方向建议与工作建议：</w:t>
      </w:r>
      <w:r>
        <w:t>北京在具身智能方向可以提前布局哪些市级战略抓手？这些方向如何转化为科委侧可组织、可跟踪、可复盘的具体工作？每项工作需要哪些证据、政府工具和资源前提，哪些事项需要进入资源确认后再判断能否启动？</w:t>
      </w:r>
    </w:p>
    <w:p>
      <w:pPr>
        <w:pStyle w:val="Heading1"/>
      </w:pPr>
      <w:r>
        <w:t>阅读路径与页面分工</w:t>
      </w:r>
    </w:p>
    <w:p>
      <w:pPr>
        <w:pStyle w:val="Heading2"/>
      </w:pPr>
      <w:hyperlink r:id="rId1" w:history="1">
        <w:r>
          <w:rPr>
            <w:rStyle w:val="Hyperlink"/>
          </w:rPr>
          <w:t>城市案例</w:t>
        </w:r>
      </w:hyperlink>
    </w:p>
    <w:p>
      <w:r>
        <w:t>先看外部地区的本地优势和政府动作。它回答“哪些地方值得看、政府具体做了什么、哪些优势不可复制”，重点不是城市排名，而是政府如何放大本地优势。</w:t>
      </w:r>
    </w:p>
    <w:p>
      <w:pPr>
        <w:pStyle w:val="Heading2"/>
      </w:pPr>
      <w:hyperlink r:id="rId2" w:history="1">
        <w:r>
          <w:rPr>
            <w:rStyle w:val="Hyperlink"/>
          </w:rPr>
          <w:t>北京基础</w:t>
        </w:r>
      </w:hyperlink>
    </w:p>
    <w:p>
      <w:r>
        <w:t>再看北京已有公开政策、平台、场景、专项、高校重点实验室和新型研发机构。它回答“北京已经有什么、哪些工作与既有基础可能重复、哪些基础可支撑方向建议和工作建议”。</w:t>
      </w:r>
    </w:p>
    <w:p>
      <w:pPr>
        <w:pStyle w:val="Heading2"/>
      </w:pPr>
      <w:hyperlink r:id="rId3" w:history="1">
        <w:r>
          <w:rPr>
            <w:rStyle w:val="Hyperlink"/>
          </w:rPr>
          <w:t>方向建议</w:t>
        </w:r>
      </w:hyperlink>
    </w:p>
    <w:p>
      <w:r>
        <w:t>把“北京下一步到底提前布局什么”提升到市级战略抓手层面。它回答“具身智能时代北京可围绕数据、模型、场景、标准、安全和转化闭环布局哪些基础设施”。</w:t>
      </w:r>
    </w:p>
    <w:p>
      <w:pPr>
        <w:pStyle w:val="Heading2"/>
      </w:pPr>
      <w:hyperlink r:id="rId4" w:history="1">
        <w:r>
          <w:rPr>
            <w:rStyle w:val="Hyperlink"/>
          </w:rPr>
          <w:t>工作建议</w:t>
        </w:r>
      </w:hyperlink>
    </w:p>
    <w:p>
      <w:r>
        <w:t>再看北京市科委可纳入研判的可执行具体工作。它回答“方向建议如何拆成企业库、场景池、成果转化扫描、测试验证、资本协同等具体工作，以及每项工作依赖哪些资源确认”。</w:t>
      </w:r>
    </w:p>
    <w:p>
      <w:pPr>
        <w:pStyle w:val="Heading2"/>
      </w:pPr>
      <w:hyperlink r:id="rId5" w:history="1">
        <w:r>
          <w:rPr>
            <w:rStyle w:val="Hyperlink"/>
          </w:rPr>
          <w:t>资源确认</w:t>
        </w:r>
      </w:hyperlink>
    </w:p>
    <w:p>
      <w:r>
        <w:t>随后确认北京市科委真实掌握哪些资源、哪些机制已经周期化使用。它回答“哪些内部资源和权限信息会影响工作能否启动、如何启动，以及哪些事项需要跨部门协同或新增授权”。</w:t>
      </w:r>
    </w:p>
    <w:p>
      <w:pPr>
        <w:pStyle w:val="Heading2"/>
      </w:pPr>
      <w:hyperlink r:id="rId6" w:history="1">
        <w:r>
          <w:rPr>
            <w:rStyle w:val="Hyperlink"/>
          </w:rPr>
          <w:t>政府工具箱</w:t>
        </w:r>
      </w:hyperlink>
    </w:p>
    <w:p>
      <w:r>
        <w:t>最后回看可用工具和落地边界。它把城市案例抽象为资金、平台、场景、监管、生态等政府工具，回答“这些方向和工作可以调用哪些工具，以及在北京落地时需要注意什么”。</w:t>
      </w:r>
    </w:p>
    <w:p>
      <w:pPr>
        <w:pStyle w:val="Heading1"/>
      </w:pPr>
      <w:r>
        <w:t>需求澄清与反馈回路</w:t>
      </w:r>
    </w:p>
    <w:p>
      <w:r>
        <w:t xml:space="preserve">在方向性需求仍较笼统、外部研究又无法完整掌握科委内部资源时，先提出若干可讨论方案，有助于把问题逐步落到“做哪一类、依托哪些资源、由谁协调、在哪些边界内先试”。这些方案不宜被理解为最终结论，而是为后续反馈提供抓手。 </w:t>
      </w:r>
    </w:p>
    <w:p>
      <w:r>
        <w:t xml:space="preserve">后续可根据科委或市级相关决策层的反馈，继续调整方向优先级、资源前提和执行边界。若一开始难以给出非常明确的需求，也可以通过方案选项、资源确认清单和待决问题，逐步把真实需求和可行路径梳理出来。 </w:t>
      </w:r>
    </w:p>
    <w:p>
      <w:pPr>
        <w:pStyle w:val="Heading1"/>
      </w:pPr>
      <w:r>
        <w:t>当前核心判断</w:t>
      </w:r>
    </w:p>
    <w:p>
      <w:pPr>
        <w:numPr>
          <w:ilvl w:val="0"/>
          <w:numId w:val="1"/>
        </w:numPr>
      </w:pPr>
      <w:r>
        <w:t>北京已经具备政策、平台、场景、成果转化、高校重点实验室和新型研发机构基础；后续讨论的重点不宜停留在“新设平台”“开放场景”“加强合作”这类宽泛表述。</w:t>
      </w:r>
    </w:p>
    <w:p>
      <w:pPr>
        <w:numPr>
          <w:ilvl w:val="0"/>
          <w:numId w:val="1"/>
        </w:numPr>
      </w:pPr>
      <w:r>
        <w:t>具身智能时代，北京可把上一轮人工智能“模型、芯片、算力”等布局经验延伸到“数据、世界模型、真实场景、跨本体标准和安全评测”这些新基础设施上。</w:t>
      </w:r>
    </w:p>
    <w:p>
      <w:pPr>
        <w:numPr>
          <w:ilvl w:val="0"/>
          <w:numId w:val="1"/>
        </w:numPr>
      </w:pPr>
      <w:r>
        <w:t>北京市科委更适合承担技术识别、项目组织、数据支持、资源协同和评估闭环，而不是替代市场投资、单独承担全部场景开放或重复建设园区平台。</w:t>
      </w:r>
    </w:p>
    <w:p>
      <w:pPr>
        <w:numPr>
          <w:ilvl w:val="0"/>
          <w:numId w:val="1"/>
        </w:numPr>
      </w:pPr>
      <w:r>
        <w:t>具身智能机器人是高度商业化、资本化且重资金的领域，政府工作的切入点可放在降低信息不对称、组织真实场景验证、连接高校成果和企业需求、明确安全边界。</w:t>
      </w:r>
    </w:p>
    <w:p>
      <w:pPr>
        <w:numPr>
          <w:ilvl w:val="0"/>
          <w:numId w:val="1"/>
        </w:numPr>
      </w:pPr>
      <w:r>
        <w:t xml:space="preserve">工作能否落地，取决于北京市科委对资金、平台、场景、企业库、高校院所、重点实验室、新型研发机构接口、投资国资和跨部门机制的补充说明，见 </w:t>
      </w:r>
      <w:hyperlink r:id="rId7" w:history="1">
        <w:r>
          <w:rPr>
            <w:rStyle w:val="Hyperlink"/>
          </w:rPr>
          <w:t>BQ-01</w:t>
        </w:r>
      </w:hyperlink>
      <w:r>
        <w:t xml:space="preserve">至 </w:t>
      </w:r>
      <w:hyperlink r:id="rId8" w:history="1">
        <w:r>
          <w:rPr>
            <w:rStyle w:val="Hyperlink"/>
          </w:rPr>
          <w:t>BQ-08</w:t>
        </w:r>
      </w:hyperlink>
      <w:r>
        <w:t>。</w:t>
      </w:r>
    </w:p>
    <w:p>
      <w:pPr>
        <w:pStyle w:val="Heading1"/>
      </w:pPr>
      <w:r>
        <w:t>引用规则</w:t>
      </w:r>
    </w:p>
    <w:p>
      <w:r>
        <w:t xml:space="preserve">后续统一采用页内引用。正文中使用类似 </w:t>
      </w:r>
      <w:r>
        <w:t>[BJ-003]</w:t>
      </w:r>
      <w:r>
        <w:t>、</w:t>
      </w:r>
      <w:r>
        <w:t>[BJ-004]</w:t>
      </w:r>
      <w:r>
        <w:t>、</w:t>
      </w:r>
      <w:r>
        <w:t>[PIT-02]</w:t>
      </w:r>
      <w:r>
        <w:t xml:space="preserve">的代号；各主题底部列出参考资料，说明代号、文件名称、来源机构、链接和使用方式，便于读者在当前语境中直接理解依据。 </w:t>
      </w:r>
    </w:p>
    <w:p>
      <w:pPr>
        <w:pStyle w:val="Heading1"/>
      </w:pPr>
      <w:r>
        <w:t>本页参考资料</w:t>
      </w:r>
    </w:p>
    <w:p>
      <w:pPr>
        <w:numPr>
          <w:ilvl w:val="0"/>
          <w:numId w:val="2"/>
        </w:numPr>
      </w:pPr>
      <w:hyperlink r:id="rId9" w:history="1">
        <w:r>
          <w:rPr>
            <w:rStyle w:val="Hyperlink"/>
          </w:rPr>
          <w:t>[BJ-003] 北京市概念验证平台建设工作指引</w:t>
        </w:r>
      </w:hyperlink>
      <w:r>
        <w:t>北京市科学技术委员会、中关村科技园区管理委员会，2026-04-14。用于说明北京已有概念验证、项目库和平台评估基础。</w:t>
      </w:r>
    </w:p>
    <w:p>
      <w:pPr>
        <w:numPr>
          <w:ilvl w:val="0"/>
          <w:numId w:val="2"/>
        </w:numPr>
      </w:pPr>
      <w:hyperlink r:id="rId10" w:history="1">
        <w:r>
          <w:rPr>
            <w:rStyle w:val="Hyperlink"/>
          </w:rPr>
          <w:t>[BJ-004] 促进首都高校科技成果转化若干措施</w:t>
        </w:r>
      </w:hyperlink>
      <w:r>
        <w:t>北京市教育委员会，2026-04-03。用于说明高校成果转化、概念验证资金和技术转移平台基础。</w:t>
      </w:r>
    </w:p>
    <w:p>
      <w:pPr>
        <w:numPr>
          <w:ilvl w:val="0"/>
          <w:numId w:val="2"/>
        </w:numPr>
      </w:pPr>
      <w:hyperlink r:id="rId11" w:history="1">
        <w:r>
          <w:rPr>
            <w:rStyle w:val="Hyperlink"/>
          </w:rPr>
          <w:t>[PIT-02] National Robotics Engineering Center</w:t>
        </w:r>
      </w:hyperlink>
      <w:r>
        <w:t>Carnegie Mellon University。用于说明 Pittsburgh 案例中的工程化平台和任务驱动测试机制。</w:t>
      </w:r>
    </w:p>
    <w:tbl>
      <w:tblPr>
        <w:tblW w:w="9360" w:type="dxa"/>
        <w:tblInd w:w="0" w:type="dxa"/>
        <w:tblBorders>
          <w:top w:val="single" w:sz="8" w:space="0" w:color="DBE4EF"/>
          <w:left w:val="single" w:sz="8" w:space="0" w:color="DBE4EF"/>
          <w:bottom w:val="single" w:sz="8" w:space="0" w:color="DBE4EF"/>
          <w:right w:val="single" w:sz="8" w:space="0" w:color="DBE4EF"/>
        </w:tblBorders>
        <w:tblCellMar>
          <w:top w:w="160" w:type="dxa"/>
          <w:left w:w="180" w:type="dxa"/>
          <w:bottom w:w="160" w:type="dxa"/>
          <w:right w:w="180" w:type="dxa"/>
        </w:tblCellMar>
      </w:tblPr>
      <w:tblGrid>
        <w:gridCol w:w="9360"/>
      </w:tblGrid>
      <w:tr>
        <w:tc>
          <w:tcPr>
            <w:tcW w:w="9360" w:type="dxa"/>
            <w:shd w:fill="F8FAFC"/>
          </w:tcPr>
          <w:p>
            <w:pPr>
              <w:pStyle w:val="ContextTitle"/>
            </w:pPr>
            <w:r>
              <w:rPr>
                <w:b/>
                <w:color w:val="155E75"/>
              </w:rPr>
              <w:t>本文档在整套材料中的位置</w:t>
            </w:r>
          </w:p>
          <w:p>
            <w:pPr>
              <w:pStyle w:val="Context"/>
            </w:pPr>
            <w:r>
              <w:t>整套材料共 7 个部分，本文档为第 1 部分：</w:t>
            </w:r>
            <w:r>
              <w:rPr>
                <w:b/>
              </w:rPr>
              <w:t>总览</w:t>
            </w:r>
            <w:r>
              <w:t>。</w:t>
            </w:r>
          </w:p>
          <w:p>
            <w:pPr>
              <w:pStyle w:val="Context"/>
            </w:pPr>
            <w:r>
              <w:t>阅读顺序：</w:t>
            </w:r>
            <w:r>
              <w:rPr>
                <w:b/>
              </w:rPr>
              <w:t>总览</w:t>
            </w:r>
            <w:r>
              <w:rPr>
                <w:b/>
              </w:rPr>
              <w:t>（本文档）</w:t>
            </w:r>
            <w:r>
              <w:t xml:space="preserve"> → </w:t>
            </w:r>
            <w:r>
              <w:t>城市案例</w:t>
            </w:r>
            <w:r>
              <w:t xml:space="preserve"> → </w:t>
            </w:r>
            <w:r>
              <w:t>北京基础</w:t>
            </w:r>
            <w:r>
              <w:t xml:space="preserve"> → </w:t>
            </w:r>
            <w:r>
              <w:t>方向建议</w:t>
            </w:r>
            <w:r>
              <w:t xml:space="preserve"> → </w:t>
            </w:r>
            <w:r>
              <w:t>工作建议</w:t>
            </w:r>
            <w:r>
              <w:t xml:space="preserve"> → </w:t>
            </w:r>
            <w:r>
              <w:t>资源确认</w:t>
            </w:r>
            <w:r>
              <w:t xml:space="preserve"> → </w:t>
            </w:r>
            <w:r>
              <w:t>政府工具箱</w:t>
            </w:r>
          </w:p>
          <w:p>
            <w:pPr>
              <w:pStyle w:val="ContextNote"/>
            </w:pPr>
            <w:r>
              <w:t>原文网址：</w:t>
            </w:r>
            <w:hyperlink r:id="rId12" w:history="1">
              <w:r>
                <w:rPr>
                  <w:rStyle w:val="Hyperlink"/>
                </w:rPr>
                <w:t>https://bj-eai-research.pages.dev/</w:t>
              </w:r>
            </w:hyperlink>
            <w:r>
              <w:t>（该网址可能无法在政府外网访问，可以用手机或常规网络访问。）</w:t>
            </w:r>
          </w:p>
        </w:tc>
      </w:tr>
    </w:tbl>
    <w:sectPr>
      <w:pgSz w:w="12240" w:h="15840"/>
      <w:pgMar w:top="1440" w:right="1440" w:bottom="1440" w:left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•"/>
      <w:pPr>
        <w:ind w:left="720" w:hanging="360"/>
      </w:pPr>
    </w:lvl>
    <w:lvl w:ilvl="1">
      <w:start w:val="1"/>
      <w:numFmt w:val="bullet"/>
      <w:lvlText w:val="◦"/>
      <w:pPr>
        <w:ind w:left="1080" w:hanging="360"/>
      </w:pPr>
    </w:lvl>
    <w:lvl w:ilvl="2">
      <w:start w:val="1"/>
      <w:numFmt w:val="bullet"/>
      <w:lvlText w:val="▪"/>
      <w:pPr>
        <w:ind w:left="1440" w:hanging="360"/>
      </w:pPr>
    </w:lvl>
  </w:abstractNum>
  <w:num w:numId="1">
    <w:abstractNumId w:val="1"/>
  </w:num>
  <w:abstractNum w:abstractNumId="2">
    <w:lvl w:ilvl="0">
      <w:start w:val="1"/>
      <w:numFmt w:val="decimal"/>
      <w:lvlText w:val="%1."/>
      <w:pPr>
        <w:ind w:left="720" w:hanging="360"/>
      </w:pPr>
    </w:lvl>
    <w:lvl w:ilvl="1">
      <w:start w:val="1"/>
      <w:numFmt w:val="decimal"/>
      <w:lvlText w:val="%2."/>
      <w:pPr>
        <w:ind w:left="1080" w:hanging="360"/>
      </w:pPr>
    </w:lvl>
  </w:abstractNum>
  <w:num w:numId="2">
    <w:abstractNumId w:val="2"/>
  </w:num>
</w:numbering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120" w:line="300" w:lineRule="auto"/>
    </w:pPr>
    <w:rPr>
      <w:rFonts w:ascii="Arial" w:hAnsi="Arial" w:eastAsia="Microsoft YaHei"/>
      <w:sz w:val="22"/>
      <w:color w:val="182235"/>
    </w:rPr>
  </w:style>
  <w:style w:type="paragraph" w:styleId="DocTitle">
    <w:name w:val="Document Title"/>
    <w:basedOn w:val="Normal"/>
    <w:qFormat/>
    <w:pPr>
      <w:spacing w:before="0" w:after="200" w:line="290" w:lineRule="auto"/>
    </w:pPr>
    <w:rPr>
      <w:rFonts w:ascii="Arial" w:hAnsi="Arial" w:eastAsia="Microsoft YaHei"/>
      <w:b/>
      <w:sz w:val="40"/>
      <w:color w:val="182235"/>
    </w:rPr>
  </w:style>
  <w:style w:type="paragraph" w:styleId="AttachmentTitle">
    <w:name w:val="Attachment Title"/>
    <w:basedOn w:val="Normal"/>
    <w:qFormat/>
    <w:pPr>
      <w:spacing w:before="0" w:after="80" w:line="290" w:lineRule="auto"/>
    </w:pPr>
    <w:rPr>
      <w:rFonts w:ascii="Arial" w:hAnsi="Arial" w:eastAsia="Microsoft YaHei"/>
      <w:b/>
      <w:sz w:val="26"/>
      <w:color w:val="155E75"/>
    </w:rPr>
  </w:style>
  <w:style w:type="paragraph" w:styleId="Lead">
    <w:name w:val="Lead"/>
    <w:basedOn w:val="Normal"/>
    <w:qFormat/>
    <w:pPr>
      <w:spacing w:after="180" w:line="320" w:lineRule="auto"/>
    </w:pPr>
    <w:rPr>
      <w:rFonts w:ascii="Arial" w:hAnsi="Arial" w:eastAsia="Microsoft YaHei"/>
      <w:sz w:val="24"/>
      <w:color w:val="344155"/>
    </w:rPr>
  </w:style>
  <w:style w:type="paragraph" w:styleId="ContextTitle">
    <w:name w:val="Context Title"/>
    <w:basedOn w:val="Normal"/>
    <w:qFormat/>
    <w:pPr>
      <w:spacing w:before="80" w:after="40"/>
    </w:pPr>
    <w:rPr>
      <w:rFonts w:ascii="Arial" w:hAnsi="Arial" w:eastAsia="Microsoft YaHei"/>
      <w:b/>
      <w:sz w:val="22"/>
      <w:color w:val="155E75"/>
    </w:rPr>
  </w:style>
  <w:style w:type="paragraph" w:styleId="Context">
    <w:name w:val="Context"/>
    <w:basedOn w:val="Normal"/>
    <w:qFormat/>
    <w:pPr>
      <w:spacing w:after="80" w:line="290" w:lineRule="auto"/>
    </w:pPr>
    <w:rPr>
      <w:rFonts w:ascii="Arial" w:hAnsi="Arial" w:eastAsia="Microsoft YaHei"/>
      <w:sz w:val="20"/>
      <w:color w:val="5B677A"/>
    </w:rPr>
  </w:style>
  <w:style w:type="paragraph" w:styleId="ContextNote">
    <w:name w:val="Context Note"/>
    <w:basedOn w:val="Normal"/>
    <w:qFormat/>
    <w:pPr>
      <w:spacing w:after="20" w:line="280" w:lineRule="auto"/>
    </w:pPr>
    <w:rPr>
      <w:rFonts w:ascii="Arial" w:hAnsi="Arial" w:eastAsia="Microsoft YaHei"/>
      <w:sz w:val="18"/>
      <w:color w:val="6F7B8D"/>
    </w:rPr>
  </w:style>
  <w:style w:type="paragraph" w:styleId="Heading1">
    <w:name w:val="Heading 1"/>
    <w:basedOn w:val="Normal"/>
    <w:next w:val="Normal"/>
    <w:qFormat/>
    <w:pPr>
      <w:keepNext/>
      <w:spacing w:before="320" w:after="120"/>
    </w:pPr>
    <w:rPr>
      <w:rFonts w:ascii="Arial" w:hAnsi="Arial" w:eastAsia="Microsoft YaHei"/>
      <w:b/>
      <w:sz w:val="32"/>
      <w:color w:val="155E75"/>
    </w:rPr>
  </w:style>
  <w:style w:type="paragraph" w:styleId="Heading2">
    <w:name w:val="Heading 2"/>
    <w:basedOn w:val="Normal"/>
    <w:next w:val="Normal"/>
    <w:qFormat/>
    <w:pPr>
      <w:keepNext/>
      <w:spacing w:before="220" w:after="80"/>
    </w:pPr>
    <w:rPr>
      <w:rFonts w:ascii="Arial" w:hAnsi="Arial" w:eastAsia="Microsoft YaHei"/>
      <w:b/>
      <w:sz w:val="26"/>
      <w:color w:val="182235"/>
    </w:rPr>
  </w:style>
  <w:style w:type="character" w:styleId="Hyperlink">
    <w:name w:val="Hyperlink"/>
    <w:rPr>
      <w:color w:val="1D4ED8"/>
      <w:u w:val="single"/>
    </w:rPr>
  </w:style>
</w:styles>
</file>

<file path=word/_rels/document.xml.rels><?xml version="1.0" encoding="UTF-8" standalone="yes"?><Relationships xmlns="http://schemas.openxmlformats.org/package/2006/relationships"><Relationship Id="rIdStyles" Type="http://schemas.openxmlformats.org/officeDocument/2006/relationships/styles" Target="styles.xml"/><Relationship Id="rIdNumbering" Type="http://schemas.openxmlformats.org/officeDocument/2006/relationships/numbering" Target="numbering.xml"/><Relationship Id="rId1" Type="http://schemas.openxmlformats.org/officeDocument/2006/relationships/hyperlink" Target="cities.html" TargetMode="External"/><Relationship Id="rId2" Type="http://schemas.openxmlformats.org/officeDocument/2006/relationships/hyperlink" Target="beijing.html" TargetMode="External"/><Relationship Id="rId3" Type="http://schemas.openxmlformats.org/officeDocument/2006/relationships/hyperlink" Target="directions.html" TargetMode="External"/><Relationship Id="rId4" Type="http://schemas.openxmlformats.org/officeDocument/2006/relationships/hyperlink" Target="recommendations.html" TargetMode="External"/><Relationship Id="rId5" Type="http://schemas.openxmlformats.org/officeDocument/2006/relationships/hyperlink" Target="resources.html" TargetMode="External"/><Relationship Id="rId6" Type="http://schemas.openxmlformats.org/officeDocument/2006/relationships/hyperlink" Target="tools.html" TargetMode="External"/><Relationship Id="rId7" Type="http://schemas.openxmlformats.org/officeDocument/2006/relationships/hyperlink" Target="resources.html#BQ-01" TargetMode="External"/><Relationship Id="rId8" Type="http://schemas.openxmlformats.org/officeDocument/2006/relationships/hyperlink" Target="resources.html#BQ-08" TargetMode="External"/><Relationship Id="rId9" Type="http://schemas.openxmlformats.org/officeDocument/2006/relationships/hyperlink" Target="https://www.beijing.gov.cn/zhengce/zhengcefagui/202604/t20260416_4584760.html" TargetMode="External"/><Relationship Id="rId10" Type="http://schemas.openxmlformats.org/officeDocument/2006/relationships/hyperlink" Target="https://www.beijing.gov.cn/zhengce/zhengcefagui/202604/t20260407_4575251.html" TargetMode="External"/><Relationship Id="rId11" Type="http://schemas.openxmlformats.org/officeDocument/2006/relationships/hyperlink" Target="https://www.nrec.ri.cmu.edu/" TargetMode="External"/><Relationship Id="rId12" Type="http://schemas.openxmlformats.org/officeDocument/2006/relationships/hyperlink" Target="https://bj-eai-research.pages.dev/" TargetMode="External"/></Relationships>
</file>